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641E0" w14:textId="77777777" w:rsidR="00F06897" w:rsidRPr="00156FB5" w:rsidRDefault="00F06897" w:rsidP="00F06897">
      <w:pPr>
        <w:pStyle w:val="casestudyheading"/>
        <w:keepNext w:val="0"/>
      </w:pPr>
      <w:r w:rsidRPr="00156FB5">
        <w:rPr>
          <w:rFonts w:asciiTheme="majorBidi" w:hAnsiTheme="majorBidi" w:cstheme="majorBidi"/>
        </w:rPr>
        <w:t xml:space="preserve">CASE STUDY </w:t>
      </w:r>
      <w:r w:rsidRPr="00DE256D">
        <w:rPr>
          <w:rStyle w:val="bold"/>
          <w:rFonts w:asciiTheme="majorBidi" w:hAnsiTheme="majorBidi"/>
          <w:b/>
          <w:bCs/>
        </w:rPr>
        <w:t>9.3:</w:t>
      </w:r>
      <w:r w:rsidRPr="00156FB5">
        <w:rPr>
          <w:rStyle w:val="bold"/>
          <w:rFonts w:asciiTheme="majorBidi" w:hAnsiTheme="majorBidi"/>
        </w:rPr>
        <w:t xml:space="preserve"> </w:t>
      </w:r>
      <w:r w:rsidRPr="00156FB5">
        <w:t>Cameron as Prime Minister</w:t>
      </w:r>
    </w:p>
    <w:p w14:paraId="031A134F" w14:textId="77777777" w:rsidR="00F06897" w:rsidRPr="00DE256D" w:rsidRDefault="00F06897" w:rsidP="00F06897">
      <w:pPr>
        <w:pStyle w:val="figuretitle"/>
        <w:keepNext w:val="0"/>
        <w:shd w:val="pct10" w:color="auto" w:fill="auto"/>
        <w:rPr>
          <w:rFonts w:asciiTheme="majorBidi" w:hAnsiTheme="majorBidi" w:cstheme="majorBidi"/>
          <w:sz w:val="20"/>
          <w:szCs w:val="20"/>
        </w:rPr>
      </w:pPr>
      <w:r w:rsidRPr="00DE256D">
        <w:rPr>
          <w:rStyle w:val="tablenumber"/>
          <w:rFonts w:asciiTheme="majorBidi" w:hAnsiTheme="majorBidi" w:cstheme="majorBidi"/>
          <w:b/>
          <w:bCs/>
          <w:sz w:val="20"/>
          <w:szCs w:val="20"/>
        </w:rPr>
        <w:t>Photo 9.5</w:t>
      </w:r>
      <w:r w:rsidRPr="00DE256D">
        <w:rPr>
          <w:rFonts w:asciiTheme="majorBidi" w:hAnsiTheme="majorBidi" w:cstheme="majorBidi"/>
          <w:sz w:val="20"/>
          <w:szCs w:val="20"/>
        </w:rPr>
        <w:t xml:space="preserve"> David Cameron reacts after delivering his resignation speech in Downing Street following the EU referendum result on Friday 24 June 2016.</w:t>
      </w:r>
    </w:p>
    <w:p w14:paraId="1A636484" w14:textId="197F5BC1" w:rsidR="00F06897" w:rsidRPr="00156FB5" w:rsidRDefault="00DE256D" w:rsidP="00F06897">
      <w:pPr>
        <w:pStyle w:val="NoParagraphStyle"/>
        <w:shd w:val="pct10" w:color="auto" w:fill="auto"/>
        <w:rPr>
          <w:rFonts w:asciiTheme="majorBidi" w:hAnsiTheme="majorBidi" w:cstheme="majorBidi"/>
        </w:rPr>
      </w:pPr>
      <w:r w:rsidRPr="00DE256D">
        <w:rPr>
          <w:rFonts w:asciiTheme="majorBidi" w:hAnsiTheme="majorBidi" w:cstheme="majorBidi"/>
        </w:rPr>
        <w:drawing>
          <wp:inline distT="0" distB="0" distL="0" distR="0" wp14:anchorId="45EFBA34" wp14:editId="18C7347C">
            <wp:extent cx="2197213" cy="13970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197213" cy="1397072"/>
                    </a:xfrm>
                    <a:prstGeom prst="rect">
                      <a:avLst/>
                    </a:prstGeom>
                  </pic:spPr>
                </pic:pic>
              </a:graphicData>
            </a:graphic>
          </wp:inline>
        </w:drawing>
      </w:r>
    </w:p>
    <w:p w14:paraId="7213D2E0" w14:textId="77777777" w:rsidR="00F06897" w:rsidRPr="00DE256D" w:rsidRDefault="00F06897" w:rsidP="00F06897">
      <w:pPr>
        <w:pStyle w:val="figuresource"/>
        <w:keepNext w:val="0"/>
        <w:shd w:val="pct10" w:color="auto" w:fill="auto"/>
        <w:rPr>
          <w:rFonts w:asciiTheme="majorBidi" w:hAnsiTheme="majorBidi" w:cstheme="majorBidi"/>
          <w:sz w:val="18"/>
        </w:rPr>
      </w:pPr>
      <w:r w:rsidRPr="00DE256D">
        <w:rPr>
          <w:rFonts w:asciiTheme="majorBidi" w:hAnsiTheme="majorBidi" w:cstheme="majorBidi"/>
          <w:sz w:val="18"/>
        </w:rPr>
        <w:t>Source: Dan Kitwood/Getty Images</w:t>
      </w:r>
    </w:p>
    <w:p w14:paraId="7D8DD1AF" w14:textId="77777777" w:rsidR="00F06897" w:rsidRPr="00156FB5" w:rsidRDefault="00F06897" w:rsidP="00F06897">
      <w:pPr>
        <w:pStyle w:val="casestudyfirstpara"/>
        <w:shd w:val="pct10" w:color="auto" w:fill="auto"/>
        <w:rPr>
          <w:rFonts w:asciiTheme="majorBidi" w:hAnsiTheme="majorBidi" w:cstheme="majorBidi"/>
          <w:szCs w:val="24"/>
        </w:rPr>
      </w:pPr>
      <w:r w:rsidRPr="00156FB5">
        <w:rPr>
          <w:rFonts w:asciiTheme="majorBidi" w:hAnsiTheme="majorBidi" w:cstheme="majorBidi"/>
          <w:szCs w:val="24"/>
        </w:rPr>
        <w:t>David Cameron will be remembered as the Prime Minister who took Britain out of the European Union despite, when he first became leader asking his party to stop ‘banging on about Europe. He also wanted to detoxify his party, once described by Theresa May as the ‘nasty’ party. He aimed to do this by supporting socially liberal ideas, the NHS and the environment. He spoke about how some young offenders just needed love. He didn’t try to hide his privileged upbringing and argued that he wanted everyone in Britain to have those kinds of advantages in life.</w:t>
      </w:r>
    </w:p>
    <w:p w14:paraId="44B21F95" w14:textId="77777777" w:rsidR="00F06897" w:rsidRPr="00156FB5" w:rsidRDefault="00F06897" w:rsidP="00F06897">
      <w:pPr>
        <w:pStyle w:val="casestudybheading"/>
        <w:keepNext w:val="0"/>
        <w:shd w:val="pct10" w:color="auto" w:fill="auto"/>
        <w:rPr>
          <w:rFonts w:asciiTheme="majorBidi" w:hAnsiTheme="majorBidi" w:cstheme="majorBidi"/>
          <w:szCs w:val="24"/>
        </w:rPr>
      </w:pPr>
      <w:r w:rsidRPr="00156FB5">
        <w:rPr>
          <w:rFonts w:asciiTheme="majorBidi" w:hAnsiTheme="majorBidi" w:cstheme="majorBidi"/>
          <w:szCs w:val="24"/>
        </w:rPr>
        <w:t>In coalition</w:t>
      </w:r>
    </w:p>
    <w:p w14:paraId="00727E76"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During the period of the Conservative–Liberal Democrat Coalition, 2010–15, David Cameron’s power as Prime Minister had to be understood in the light of the framework that coalition government established. A Commons majority and a unified party are the two key requirements for effective Prime Ministerial power. A ‘hung’ Parliament changes this because, in minority or coalition governments, Prime Ministers are much more vulnerable to pressures exerted by another party or other parties.</w:t>
      </w:r>
    </w:p>
    <w:p w14:paraId="436A147D"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The early introduction of the Fixed-term Parliament Act was significant because it meant that the Prime Minister surrendered a key prerogative power, the ability to dissolve Parliament and to call a general election, but it also locked both parties in for the full term. In this five-</w:t>
      </w:r>
      <w:r w:rsidRPr="00156FB5">
        <w:rPr>
          <w:rFonts w:asciiTheme="majorBidi" w:hAnsiTheme="majorBidi" w:cstheme="majorBidi"/>
          <w:szCs w:val="24"/>
        </w:rPr>
        <w:lastRenderedPageBreak/>
        <w:t xml:space="preserve">year period, the Coalition introduced sweeping changes to the education system, the NHS, the benefits system and pensions, as well as massive cuts to public spending aimed at paying off the deficit and increasing university tuition fees. </w:t>
      </w:r>
    </w:p>
    <w:p w14:paraId="57A0CBE9"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Another consequence was the constraint on the Prime Minister’s power of patronage. Cameron needed to bind the Cabinet together into the Coalition, with this in mind, Nick Clegg, the Liberal Democrat leader, was appointed Deputy Prime Minister, and four other Liberal Democrats were appointed to the Cabinet. Cameron could not reshuffle or remove Clegg, nor could he instruct Liberal Democrat ministers. Coalition government meant that patronage had to be exercised with greater care and sensitivity.</w:t>
      </w:r>
    </w:p>
    <w:p w14:paraId="4EBBA068"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 xml:space="preserve">The constraints that coalition government extended across all the decision-making processes of government, inhibiting the Prime Minister’s capacity to exert policy leadership. This occurred because, unlike single-party governments, coalitions involve an ongoing and complex process of negotiation, simplistically, Cabinet government was back. In Parliament in2013, he suffered a major blow to his authority when he became the first Prime Minister in more than 100 years to lose a foreign policy vote, after Conservative MPs joined with Labour to block his plans for military intervention in Syria. </w:t>
      </w:r>
    </w:p>
    <w:p w14:paraId="0F058BCD"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 xml:space="preserve">One of the key strategic relationships in the Cabinet was formed by ‘the Quad’ – meetings between Cameron, Clegg, Chancellor George Osborne, and Chief Secretary of the Treasury Danny Alexander. Within this, the most important relationship was between Cameron and Clegg, who quickly developed a close working relationship and met on a regular basis. </w:t>
      </w:r>
    </w:p>
    <w:p w14:paraId="62D0FF07"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 xml:space="preserve">However, it is by no means clear that coalition government always hampers the Prime Minister’s freedom for manoeuvre. During his first year in office, Cameron suffered no serious policy reverses due to opposition from within the Cabinet or government. This was particularly remarkable in view of the controversial nature of many of the policies the Coalition was unveiling. One of the reasons for this was the prominence that senior Liberal </w:t>
      </w:r>
      <w:r w:rsidRPr="00156FB5">
        <w:rPr>
          <w:rFonts w:asciiTheme="majorBidi" w:hAnsiTheme="majorBidi" w:cstheme="majorBidi"/>
          <w:szCs w:val="24"/>
        </w:rPr>
        <w:lastRenderedPageBreak/>
        <w:t xml:space="preserve">Democrats enjoyed within the Coalition Government’s decision-making processes. The fact that figures such as Clegg and Alexander were very clearly ‘insiders’ rather than ‘outsiders’ made it difficult for them to become the focus of disaffection. </w:t>
      </w:r>
    </w:p>
    <w:p w14:paraId="06D49B4B"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In 2014, he snatched victory from the jaws of defeat by rushing north of the border to convince Scottish voters to stay within the Union. This victory (and the AV referendum in 2011) perhaps created an over-confidence about his ability to win referendums, as he fatefully promised his party that if he won an overall majority he would hold an In-Out referendum.</w:t>
      </w:r>
    </w:p>
    <w:p w14:paraId="2556475E" w14:textId="77777777" w:rsidR="00F06897" w:rsidRPr="00156FB5" w:rsidRDefault="00F06897" w:rsidP="00F06897">
      <w:pPr>
        <w:pStyle w:val="casestudybheading"/>
        <w:keepNext w:val="0"/>
        <w:shd w:val="pct10" w:color="auto" w:fill="auto"/>
        <w:rPr>
          <w:rFonts w:asciiTheme="majorBidi" w:hAnsiTheme="majorBidi" w:cstheme="majorBidi"/>
          <w:szCs w:val="24"/>
        </w:rPr>
      </w:pPr>
      <w:r w:rsidRPr="00156FB5">
        <w:rPr>
          <w:rFonts w:asciiTheme="majorBidi" w:hAnsiTheme="majorBidi" w:cstheme="majorBidi"/>
          <w:szCs w:val="24"/>
        </w:rPr>
        <w:t>Single-party government 2015–16</w:t>
      </w:r>
    </w:p>
    <w:p w14:paraId="79FCA0AF"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For the third time, in 2015, Cameron confounded the doubters by winning a (very small) majority in the 2015 General Election, the first majority government since John Major in 1992.</w:t>
      </w:r>
    </w:p>
    <w:p w14:paraId="6BAD5AF9" w14:textId="77777777" w:rsidR="00F06897" w:rsidRPr="00156FB5" w:rsidRDefault="00F06897" w:rsidP="00F06897">
      <w:pPr>
        <w:pStyle w:val="casestudybody"/>
        <w:rPr>
          <w:rFonts w:asciiTheme="majorBidi" w:hAnsiTheme="majorBidi" w:cstheme="majorBidi"/>
          <w:szCs w:val="24"/>
        </w:rPr>
      </w:pPr>
      <w:r w:rsidRPr="00156FB5">
        <w:rPr>
          <w:rFonts w:asciiTheme="majorBidi" w:hAnsiTheme="majorBidi" w:cstheme="majorBidi"/>
          <w:szCs w:val="24"/>
        </w:rPr>
        <w:t>However, his slim majority left him open to a handful of his own MPs being able to switch votes and defeat him, which they did as his Government suffered a string of defeats, most famously over Osborne’s welfare cuts. The majority he won, however, which meant he had to keep his promise to hold an In-Out referendum. After a round of shuttle diplomacy, to renegotiate the terms of our EU membership, the deal he brought back was less than overwhelming. The more he tried to convince people it was a transformative deal which meant he was campaigning to stay in the EU, the more positions in his own party hardened, the majority of whom wanted Britain out of the EU. Pitched against Johnson and Gove on the Leave side, the Remain side fought a campaign which was tone-deaf in many ways and sought to frighten Leave voters rather than listen to them. Perhaps, buoyed by two referendum victories to his name which used this tactic, he believed it would work. On the morning after the referendum result, Cameron resigned as Prime Minister. Despite doing many good things for the country and his party, he will be remembered primarily for this.</w:t>
      </w:r>
    </w:p>
    <w:p w14:paraId="5986BA93" w14:textId="77777777" w:rsidR="00CF2934" w:rsidRDefault="00CF2934"/>
    <w:sectPr w:rsidR="00CF29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6897"/>
    <w:rsid w:val="00CF2934"/>
    <w:rsid w:val="00DE256D"/>
    <w:rsid w:val="00F06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8C735"/>
  <w15:chartTrackingRefBased/>
  <w15:docId w15:val="{8B27F2EA-A5AF-4F49-ADAC-50A5AA587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F06897"/>
    <w:rPr>
      <w:rFonts w:ascii="Times New Roman" w:hAnsi="Times New Roman" w:cs="Times New Roman"/>
      <w:b/>
      <w:bCs/>
      <w:color w:val="auto"/>
      <w:spacing w:val="0"/>
      <w:w w:val="100"/>
      <w:position w:val="0"/>
      <w:sz w:val="24"/>
    </w:rPr>
  </w:style>
  <w:style w:type="paragraph" w:customStyle="1" w:styleId="NoParagraphStyle">
    <w:name w:val="[No Paragraph Style]"/>
    <w:rsid w:val="00F06897"/>
    <w:pPr>
      <w:widowControl w:val="0"/>
      <w:autoSpaceDE w:val="0"/>
      <w:autoSpaceDN w:val="0"/>
      <w:adjustRightInd w:val="0"/>
      <w:spacing w:after="0" w:line="480" w:lineRule="auto"/>
      <w:textAlignment w:val="center"/>
    </w:pPr>
    <w:rPr>
      <w:rFonts w:ascii="Times New Roman" w:eastAsiaTheme="minorEastAsia" w:hAnsi="Times New Roman" w:cs="Times New Roman"/>
      <w:sz w:val="24"/>
      <w:szCs w:val="24"/>
    </w:rPr>
  </w:style>
  <w:style w:type="paragraph" w:customStyle="1" w:styleId="casestudyheading">
    <w:name w:val="case study heading"/>
    <w:basedOn w:val="Normal"/>
    <w:uiPriority w:val="99"/>
    <w:rsid w:val="00F06897"/>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sz w:val="24"/>
      <w:szCs w:val="24"/>
    </w:rPr>
  </w:style>
  <w:style w:type="paragraph" w:customStyle="1" w:styleId="casestudybheading">
    <w:name w:val="case study b heading"/>
    <w:basedOn w:val="BodyText"/>
    <w:uiPriority w:val="99"/>
    <w:rsid w:val="00F06897"/>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szCs w:val="20"/>
    </w:rPr>
  </w:style>
  <w:style w:type="paragraph" w:customStyle="1" w:styleId="casestudybody">
    <w:name w:val="case study body"/>
    <w:basedOn w:val="Normal"/>
    <w:uiPriority w:val="99"/>
    <w:rsid w:val="00F06897"/>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customStyle="1" w:styleId="figuretitle">
    <w:name w:val="figure title"/>
    <w:basedOn w:val="BodyText"/>
    <w:uiPriority w:val="99"/>
    <w:rsid w:val="00F06897"/>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sz w:val="24"/>
    </w:rPr>
  </w:style>
  <w:style w:type="character" w:customStyle="1" w:styleId="tablenumber">
    <w:name w:val="table number"/>
    <w:basedOn w:val="bold"/>
    <w:uiPriority w:val="99"/>
    <w:rsid w:val="00F06897"/>
    <w:rPr>
      <w:rFonts w:ascii="Times New Roman" w:hAnsi="Times New Roman" w:cs="Times New Roman"/>
      <w:b/>
      <w:bCs/>
      <w:color w:val="auto"/>
      <w:spacing w:val="0"/>
      <w:w w:val="100"/>
      <w:position w:val="0"/>
      <w:sz w:val="24"/>
    </w:rPr>
  </w:style>
  <w:style w:type="paragraph" w:customStyle="1" w:styleId="figuresource">
    <w:name w:val="figure source"/>
    <w:basedOn w:val="figuretitle"/>
    <w:uiPriority w:val="99"/>
    <w:rsid w:val="00F06897"/>
    <w:rPr>
      <w:b w:val="0"/>
      <w:bCs w:val="0"/>
      <w:i/>
      <w:iCs/>
      <w:szCs w:val="18"/>
    </w:rPr>
  </w:style>
  <w:style w:type="paragraph" w:customStyle="1" w:styleId="casestudyfirstpara">
    <w:name w:val="case study first para"/>
    <w:basedOn w:val="Normal"/>
    <w:uiPriority w:val="99"/>
    <w:rsid w:val="00F06897"/>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sz w:val="24"/>
      <w:szCs w:val="18"/>
    </w:rPr>
  </w:style>
  <w:style w:type="paragraph" w:styleId="BodyText">
    <w:name w:val="Body Text"/>
    <w:basedOn w:val="Normal"/>
    <w:link w:val="BodyTextChar"/>
    <w:uiPriority w:val="99"/>
    <w:semiHidden/>
    <w:unhideWhenUsed/>
    <w:rsid w:val="00F06897"/>
    <w:pPr>
      <w:spacing w:after="120"/>
    </w:pPr>
  </w:style>
  <w:style w:type="character" w:customStyle="1" w:styleId="BodyTextChar">
    <w:name w:val="Body Text Char"/>
    <w:basedOn w:val="DefaultParagraphFont"/>
    <w:link w:val="BodyText"/>
    <w:uiPriority w:val="99"/>
    <w:semiHidden/>
    <w:rsid w:val="00F068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845</Words>
  <Characters>4817</Characters>
  <Application>Microsoft Office Word</Application>
  <DocSecurity>0</DocSecurity>
  <Lines>40</Lines>
  <Paragraphs>11</Paragraphs>
  <ScaleCrop>false</ScaleCrop>
  <Company>Bloomsbury Publishing Plc</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2026-07-02T13:23:00Z</dcterms:created>
  <dcterms:modified xsi:type="dcterms:W3CDTF">2026-07-02T13:24:00Z</dcterms:modified>
</cp:coreProperties>
</file>